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D6F" w:rsidRDefault="00692D6F" w:rsidP="00692D6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92D6F" w:rsidRPr="00D06820" w:rsidRDefault="00692D6F" w:rsidP="00692D6F">
      <w:pPr>
        <w:ind w:leftChars="85" w:left="178"/>
      </w:pPr>
      <w:r w:rsidRPr="00D06820">
        <w:t>（相場操縦に係る課徴金の計算における有価証券の売付け等）</w:t>
      </w:r>
    </w:p>
    <w:p w:rsidR="00692D6F" w:rsidRPr="00692D6F" w:rsidRDefault="00692D6F" w:rsidP="00692D6F">
      <w:pPr>
        <w:ind w:left="179" w:hangingChars="85" w:hanging="179"/>
      </w:pPr>
      <w:r w:rsidRPr="00D06820">
        <w:rPr>
          <w:b/>
          <w:bCs/>
        </w:rPr>
        <w:t>第三十三条の十</w:t>
      </w:r>
      <w:r w:rsidRPr="00D06820">
        <w:t xml:space="preserve">　法第百七十四条第二項に規定する政令で定める取引は、次に掲げる</w:t>
      </w:r>
      <w:r w:rsidRPr="00692D6F">
        <w:t>取引とする。</w:t>
      </w:r>
    </w:p>
    <w:p w:rsidR="00692D6F" w:rsidRPr="00692D6F" w:rsidRDefault="00692D6F" w:rsidP="00692D6F">
      <w:pPr>
        <w:ind w:leftChars="86" w:left="359" w:hangingChars="85" w:hanging="178"/>
      </w:pPr>
      <w:r w:rsidRPr="00692D6F">
        <w:t>一　有価証券の売付け</w:t>
      </w:r>
    </w:p>
    <w:p w:rsidR="00692D6F" w:rsidRPr="00692D6F" w:rsidRDefault="00692D6F" w:rsidP="00692D6F">
      <w:pPr>
        <w:ind w:leftChars="86" w:left="359" w:hangingChars="85" w:hanging="178"/>
      </w:pPr>
      <w:r w:rsidRPr="00692D6F">
        <w:t>二　法第二条第二十一項第二号に掲げる取引（現実数値が約定数値を上回つた場合に金銭を支払う立場の当事者となるものに限る。）</w:t>
      </w:r>
    </w:p>
    <w:p w:rsidR="00692D6F" w:rsidRPr="00692D6F" w:rsidRDefault="00692D6F" w:rsidP="00692D6F">
      <w:pPr>
        <w:ind w:leftChars="86" w:left="359" w:hangingChars="85" w:hanging="178"/>
      </w:pPr>
      <w:r w:rsidRPr="00692D6F">
        <w:t>三　法第二条第二十一項第三号又は第二十二項第三号若しくは第四号に掲げる取引（オプションを付与する立場の当事者となるもの又はこれに類似するものに限る。）</w:t>
      </w:r>
    </w:p>
    <w:p w:rsidR="00692D6F" w:rsidRPr="00692D6F" w:rsidRDefault="00692D6F" w:rsidP="00692D6F">
      <w:pPr>
        <w:ind w:leftChars="86" w:left="359" w:hangingChars="85" w:hanging="178"/>
      </w:pPr>
      <w:r w:rsidRPr="00692D6F">
        <w:t>四　法第二条第二十一項第四号又は第二十二項第五号に掲げる取引（違反行為（法第百七十四条第一項に規定する違反行為をいう。以下同じ。）に係る金融商品の利率等若しく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又はこれに類似するものであつて、当該取引において当該金融商品の利率等若しくは金融指標が約定した期間に上昇した場合に金銭を支払う立場の当事者となるもの又はこれに類似するものに限る。）</w:t>
      </w:r>
    </w:p>
    <w:p w:rsidR="00692D6F" w:rsidRPr="00692D6F" w:rsidRDefault="00692D6F" w:rsidP="00692D6F">
      <w:pPr>
        <w:ind w:leftChars="86" w:left="359" w:hangingChars="85" w:hanging="178"/>
      </w:pPr>
      <w:r w:rsidRPr="00692D6F">
        <w:t>五　法第二条第二十一項第五号又は第二十二項第六号に掲げる取引（当事者があらかじめ定めた同条第二十一項第五号イ若しくはロ又は第二十二項第六号イ若しくはロに掲げる事由が発生した場合に金銭を支払う立場の当事者となるもの又はこれに類似するものに限る。）</w:t>
      </w:r>
    </w:p>
    <w:p w:rsidR="00692D6F" w:rsidRPr="00692D6F" w:rsidRDefault="00692D6F" w:rsidP="00692D6F">
      <w:pPr>
        <w:ind w:leftChars="86" w:left="359" w:hangingChars="85" w:hanging="178"/>
      </w:pPr>
      <w:r w:rsidRPr="00692D6F">
        <w:t>六　法第二条第二十二項第二号に掲げる取引（現実数値が約定数値を上回つた場合に金銭を支払う立場の当事者となるもの又はこれに類似するものに限る。）</w:t>
      </w:r>
    </w:p>
    <w:p w:rsidR="00692D6F" w:rsidRDefault="00692D6F" w:rsidP="00692D6F">
      <w:pPr>
        <w:rPr>
          <w:rFonts w:hint="eastAsia"/>
        </w:rPr>
      </w:pPr>
    </w:p>
    <w:p w:rsidR="00692D6F" w:rsidRDefault="00692D6F" w:rsidP="00692D6F">
      <w:pPr>
        <w:rPr>
          <w:rFonts w:hint="eastAsia"/>
        </w:rPr>
      </w:pPr>
    </w:p>
    <w:p w:rsidR="00692D6F" w:rsidRDefault="00692D6F" w:rsidP="00692D6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92D6F" w:rsidRDefault="00692D6F" w:rsidP="00692D6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92D6F" w:rsidRDefault="00692D6F" w:rsidP="00692D6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92D6F" w:rsidRDefault="00692D6F" w:rsidP="00692D6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92D6F" w:rsidRDefault="00692D6F" w:rsidP="00692D6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92D6F" w:rsidRDefault="00692D6F" w:rsidP="00692D6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81648" w:rsidRDefault="00DF5CFC" w:rsidP="0028164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281648" w:rsidRDefault="00281648" w:rsidP="00281648">
      <w:pPr>
        <w:rPr>
          <w:rFonts w:hint="eastAsia"/>
        </w:rPr>
      </w:pPr>
    </w:p>
    <w:p w:rsidR="00281648" w:rsidRDefault="00281648" w:rsidP="00281648">
      <w:pPr>
        <w:rPr>
          <w:rFonts w:hint="eastAsia"/>
        </w:rPr>
      </w:pPr>
      <w:r>
        <w:rPr>
          <w:rFonts w:hint="eastAsia"/>
        </w:rPr>
        <w:t>（改正後）</w:t>
      </w:r>
    </w:p>
    <w:p w:rsidR="00281648" w:rsidRPr="00D06820" w:rsidRDefault="00281648" w:rsidP="00281648">
      <w:pPr>
        <w:ind w:leftChars="85" w:left="178"/>
      </w:pPr>
      <w:r w:rsidRPr="00D06820">
        <w:t>（相場操縦に係る課徴金の計算における有価証券の売付け等）</w:t>
      </w:r>
    </w:p>
    <w:p w:rsidR="00281648" w:rsidRPr="00D06820" w:rsidRDefault="00281648" w:rsidP="00281648">
      <w:pPr>
        <w:ind w:left="179" w:hangingChars="85" w:hanging="179"/>
      </w:pPr>
      <w:r w:rsidRPr="00D06820">
        <w:rPr>
          <w:b/>
          <w:bCs/>
        </w:rPr>
        <w:t>第三十三条の十</w:t>
      </w:r>
      <w:r w:rsidRPr="00D06820">
        <w:t xml:space="preserve">　法第百七十四条第二項に規定する政令で定める取引は、次に掲げる</w:t>
      </w:r>
      <w:r w:rsidRPr="005A0380">
        <w:rPr>
          <w:u w:val="single" w:color="FF0000"/>
        </w:rPr>
        <w:t>取引と</w:t>
      </w:r>
      <w:r w:rsidRPr="00D06820">
        <w:t>する。</w:t>
      </w:r>
    </w:p>
    <w:p w:rsidR="00281648" w:rsidRPr="00D06820" w:rsidRDefault="00281648" w:rsidP="00281648">
      <w:pPr>
        <w:ind w:leftChars="86" w:left="359" w:hangingChars="85" w:hanging="178"/>
      </w:pPr>
      <w:r w:rsidRPr="00D06820">
        <w:lastRenderedPageBreak/>
        <w:t>一　有価証券の売付け</w:t>
      </w:r>
    </w:p>
    <w:p w:rsidR="00281648" w:rsidRPr="00D06820" w:rsidRDefault="00281648" w:rsidP="00281648">
      <w:pPr>
        <w:ind w:leftChars="86" w:left="359" w:hangingChars="85" w:hanging="178"/>
      </w:pPr>
      <w:r w:rsidRPr="00D06820">
        <w:t xml:space="preserve">二　</w:t>
      </w:r>
      <w:r w:rsidRPr="005A0380">
        <w:rPr>
          <w:u w:val="single" w:color="FF0000"/>
        </w:rPr>
        <w:t>法第二条第二十一項第二号に掲げる取引</w:t>
      </w:r>
      <w:r w:rsidRPr="00D06820">
        <w:t>（</w:t>
      </w:r>
      <w:r w:rsidRPr="00281648">
        <w:rPr>
          <w:rFonts w:hint="eastAsia"/>
          <w:u w:val="single" w:color="FF0000"/>
        </w:rPr>
        <w:t xml:space="preserve">　</w:t>
      </w:r>
      <w:r w:rsidRPr="00D06820">
        <w:t>現実数値が</w:t>
      </w:r>
      <w:r w:rsidRPr="00281648">
        <w:rPr>
          <w:rFonts w:hint="eastAsia"/>
          <w:u w:val="single" w:color="FF0000"/>
        </w:rPr>
        <w:t xml:space="preserve">　</w:t>
      </w:r>
      <w:r w:rsidRPr="00D06820">
        <w:t>約定数値を上回つた場合に金銭を支払う立場の当事者となるものに限る。）</w:t>
      </w:r>
    </w:p>
    <w:p w:rsidR="00281648" w:rsidRPr="00D06820" w:rsidRDefault="00281648" w:rsidP="00281648">
      <w:pPr>
        <w:ind w:leftChars="86" w:left="359" w:hangingChars="85" w:hanging="178"/>
      </w:pPr>
      <w:r w:rsidRPr="00D06820">
        <w:t xml:space="preserve">三　</w:t>
      </w:r>
      <w:r w:rsidRPr="004F140D">
        <w:rPr>
          <w:u w:val="single" w:color="FF0000"/>
        </w:rPr>
        <w:t>法第二条第二十一項第三号又は第二十二項第三号若しくは第四号に掲げる取引</w:t>
      </w:r>
      <w:r w:rsidRPr="00D06820">
        <w:t>（オプションを付与する立場の当事者となるもの又はこれに類似するものに限る。）</w:t>
      </w:r>
    </w:p>
    <w:p w:rsidR="00281648" w:rsidRPr="00281648" w:rsidRDefault="00281648" w:rsidP="00281648">
      <w:pPr>
        <w:ind w:leftChars="86" w:left="359" w:hangingChars="85" w:hanging="178"/>
        <w:rPr>
          <w:u w:val="single" w:color="FF0000"/>
        </w:rPr>
      </w:pPr>
      <w:r w:rsidRPr="00281648">
        <w:rPr>
          <w:u w:val="single" w:color="FF0000"/>
        </w:rPr>
        <w:t>四　法第二条第二十一項第四号又は第二十二項第五号に掲げる取引（違反行為（法第百七十四条第一項に規定する違反行為をいう。以下同じ。）に係る金融商品の利率等若しく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又はこれに類似するものであつて、当該取引において当該金融商品の利率等若しくは金融指標が約定した期間に上昇した場合に金銭を支払う立場の当事者となるもの又はこれに類似するものに限る。）</w:t>
      </w:r>
    </w:p>
    <w:p w:rsidR="00281648" w:rsidRPr="00281648" w:rsidRDefault="00281648" w:rsidP="00281648">
      <w:pPr>
        <w:ind w:leftChars="86" w:left="359" w:hangingChars="85" w:hanging="178"/>
        <w:rPr>
          <w:u w:val="single" w:color="FF0000"/>
        </w:rPr>
      </w:pPr>
      <w:r w:rsidRPr="00281648">
        <w:rPr>
          <w:u w:val="single" w:color="FF0000"/>
        </w:rPr>
        <w:t>五　法第二条第二十一項第五号又は第二十二項第六号に掲げる取引（当事者があらかじめ定めた同条第二十一項第五号イ若しくはロ又は第二十二項第六号イ若しくはロに掲げる事由が発生した場合に金銭を支払う立場の当事者となるもの又はこれに類似するものに限る。）</w:t>
      </w:r>
    </w:p>
    <w:p w:rsidR="00281648" w:rsidRPr="00281648" w:rsidRDefault="00281648" w:rsidP="00281648">
      <w:pPr>
        <w:ind w:leftChars="86" w:left="359" w:hangingChars="85" w:hanging="178"/>
        <w:rPr>
          <w:u w:val="single" w:color="FF0000"/>
        </w:rPr>
      </w:pPr>
      <w:r w:rsidRPr="00281648">
        <w:rPr>
          <w:u w:val="single" w:color="FF0000"/>
        </w:rPr>
        <w:t>六　法第二条第二十二項第二号に掲げる取引（現実数値が約定数値を上回つた場合に金銭を支払う立場の当事者となるもの又はこれに類似するものに限る。）</w:t>
      </w:r>
    </w:p>
    <w:p w:rsidR="00281648" w:rsidRDefault="00281648" w:rsidP="00281648">
      <w:pPr>
        <w:ind w:left="178" w:hangingChars="85" w:hanging="178"/>
        <w:rPr>
          <w:rFonts w:hint="eastAsia"/>
        </w:rPr>
      </w:pPr>
    </w:p>
    <w:p w:rsidR="00281648" w:rsidRDefault="00281648" w:rsidP="00281648">
      <w:pPr>
        <w:ind w:left="178" w:hangingChars="85" w:hanging="178"/>
        <w:rPr>
          <w:rFonts w:hint="eastAsia"/>
        </w:rPr>
      </w:pPr>
      <w:r>
        <w:rPr>
          <w:rFonts w:hint="eastAsia"/>
        </w:rPr>
        <w:t>（改正前）</w:t>
      </w:r>
    </w:p>
    <w:p w:rsidR="00281648" w:rsidRPr="00D06820" w:rsidRDefault="00281648" w:rsidP="00281648">
      <w:pPr>
        <w:ind w:leftChars="85" w:left="178"/>
      </w:pPr>
      <w:r w:rsidRPr="00D06820">
        <w:t>（相場操縦に係る課徴金の計算における有価証券の売付け等）</w:t>
      </w:r>
    </w:p>
    <w:p w:rsidR="00281648" w:rsidRPr="00D06820" w:rsidRDefault="00281648" w:rsidP="00281648">
      <w:pPr>
        <w:ind w:left="179" w:hangingChars="85" w:hanging="179"/>
      </w:pPr>
      <w:r w:rsidRPr="00D06820">
        <w:rPr>
          <w:b/>
          <w:bCs/>
        </w:rPr>
        <w:t>第三十三条の十</w:t>
      </w:r>
      <w:r w:rsidRPr="00D06820">
        <w:t xml:space="preserve">　法第百七十四条第二項に規定する政令で定める取引は、次に掲げるものとする。</w:t>
      </w:r>
    </w:p>
    <w:p w:rsidR="00281648" w:rsidRPr="00D06820" w:rsidRDefault="00281648" w:rsidP="00281648">
      <w:pPr>
        <w:ind w:leftChars="86" w:left="359" w:hangingChars="85" w:hanging="178"/>
      </w:pPr>
      <w:r w:rsidRPr="00D06820">
        <w:t>一　有価証券の売付け</w:t>
      </w:r>
    </w:p>
    <w:p w:rsidR="00281648" w:rsidRPr="00D06820" w:rsidRDefault="00281648" w:rsidP="00281648">
      <w:pPr>
        <w:ind w:leftChars="86" w:left="359" w:hangingChars="85" w:hanging="178"/>
      </w:pPr>
      <w:r w:rsidRPr="00D06820">
        <w:t xml:space="preserve">二　</w:t>
      </w:r>
      <w:r w:rsidRPr="00281648">
        <w:rPr>
          <w:u w:val="single" w:color="FF0000"/>
        </w:rPr>
        <w:t>有価証券指数等先物取引</w:t>
      </w:r>
      <w:r w:rsidRPr="00D06820">
        <w:t>（</w:t>
      </w:r>
      <w:r w:rsidRPr="00281648">
        <w:rPr>
          <w:u w:val="single" w:color="FF0000"/>
        </w:rPr>
        <w:t>現実指数又は</w:t>
      </w:r>
      <w:r w:rsidRPr="00D06820">
        <w:t>現実数値が</w:t>
      </w:r>
      <w:r w:rsidRPr="00281648">
        <w:rPr>
          <w:u w:val="single" w:color="FF0000"/>
        </w:rPr>
        <w:t>約定指数又は</w:t>
      </w:r>
      <w:r w:rsidRPr="00D06820">
        <w:t>約定数値を上回つた場合に金銭を支払う立場の当事者となるものに限る。）</w:t>
      </w:r>
    </w:p>
    <w:p w:rsidR="00281648" w:rsidRPr="00281648" w:rsidRDefault="00281648" w:rsidP="00281648">
      <w:pPr>
        <w:ind w:leftChars="86" w:left="359" w:hangingChars="85" w:hanging="178"/>
        <w:rPr>
          <w:u w:val="single" w:color="FF0000"/>
        </w:rPr>
      </w:pPr>
      <w:r w:rsidRPr="00281648">
        <w:t xml:space="preserve">三　</w:t>
      </w:r>
      <w:r w:rsidRPr="00281648">
        <w:rPr>
          <w:u w:val="single" w:color="FF0000"/>
        </w:rPr>
        <w:t>有価証券オプション取引又は有価証券店頭オプション取引（オプションを付与する立場の当事者となるもの又はこれに類似するものに限る。）</w:t>
      </w:r>
    </w:p>
    <w:p w:rsidR="00281648" w:rsidRPr="00281648" w:rsidRDefault="00281648" w:rsidP="00281648">
      <w:pPr>
        <w:ind w:leftChars="86" w:left="359" w:hangingChars="85" w:hanging="178"/>
        <w:rPr>
          <w:u w:val="single" w:color="FF0000"/>
        </w:rPr>
      </w:pPr>
      <w:r w:rsidRPr="00281648">
        <w:rPr>
          <w:u w:val="single" w:color="FF0000"/>
        </w:rPr>
        <w:t>四　有価証券店頭指数等先渡取引（店頭現実指数若しくは店頭現実数値が店頭約定指数若しくは店頭約定数値を上回つた場合に金銭を支払う立場の当事者となるもの又はこれに類似するものに限る。）</w:t>
      </w:r>
    </w:p>
    <w:p w:rsidR="00281648" w:rsidRPr="00281648" w:rsidRDefault="00281648" w:rsidP="00281648">
      <w:pPr>
        <w:ind w:leftChars="86" w:left="359" w:hangingChars="85" w:hanging="178"/>
        <w:rPr>
          <w:u w:val="single" w:color="FF0000"/>
        </w:rPr>
      </w:pPr>
      <w:r w:rsidRPr="00281648">
        <w:rPr>
          <w:u w:val="single" w:color="FF0000"/>
        </w:rPr>
        <w:t>五　有価証券店頭指数等スワップ取引（違反行為（法第百七十四条第一項に規定する違反行為をいう。以下同じ。）に係る有価証券店頭指数若しくは有価証券の数値若しくは価格の約定した期間における変化率に基づいて金銭の授受を約する取引に係るもの又はこれに類似するものであつて、当該取引において当該有価証券店頭指数若しくは有価証券の数値若しくは価格が約定した期間に上昇した場合に金銭を支払う立場の当事者と</w:t>
      </w:r>
      <w:r w:rsidRPr="00281648">
        <w:rPr>
          <w:u w:val="single" w:color="FF0000"/>
        </w:rPr>
        <w:lastRenderedPageBreak/>
        <w:t>なるもの又はこれに類似するものに限る。）</w:t>
      </w:r>
    </w:p>
    <w:p w:rsidR="00281648" w:rsidRDefault="00281648" w:rsidP="00281648">
      <w:pPr>
        <w:rPr>
          <w:rFonts w:hint="eastAsia"/>
        </w:rPr>
      </w:pPr>
    </w:p>
    <w:bookmarkEnd w:id="1"/>
    <w:p w:rsidR="00DF5CFC" w:rsidRDefault="00DF5CFC" w:rsidP="00DF5CFC">
      <w:pPr>
        <w:rPr>
          <w:rFonts w:hint="eastAsia"/>
        </w:rPr>
      </w:pPr>
    </w:p>
    <w:p w:rsidR="00DF5CFC" w:rsidRDefault="00DF5CFC" w:rsidP="00DF5CF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81648">
        <w:rPr>
          <w:rFonts w:hint="eastAsia"/>
        </w:rPr>
        <w:tab/>
      </w:r>
      <w:r w:rsidR="00281648">
        <w:rPr>
          <w:rFonts w:hint="eastAsia"/>
        </w:rPr>
        <w:t>（改正なし）</w:t>
      </w:r>
    </w:p>
    <w:p w:rsidR="00DF5CFC" w:rsidRDefault="00DF5CFC" w:rsidP="00DF5CF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81648">
        <w:rPr>
          <w:rFonts w:hint="eastAsia"/>
        </w:rPr>
        <w:tab/>
      </w:r>
      <w:r w:rsidR="00281648">
        <w:rPr>
          <w:rFonts w:hint="eastAsia"/>
        </w:rPr>
        <w:t>（改正なし）</w:t>
      </w:r>
    </w:p>
    <w:p w:rsidR="00DF5CFC" w:rsidRDefault="00DF5CFC" w:rsidP="00DF5CF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281648">
        <w:rPr>
          <w:rFonts w:hint="eastAsia"/>
        </w:rPr>
        <w:tab/>
      </w:r>
      <w:r w:rsidR="00281648">
        <w:rPr>
          <w:rFonts w:hint="eastAsia"/>
        </w:rPr>
        <w:t>（改正なし）</w:t>
      </w:r>
    </w:p>
    <w:p w:rsidR="00DF5CFC" w:rsidRDefault="00DF5CFC" w:rsidP="00DF5CF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81648">
        <w:rPr>
          <w:rFonts w:hint="eastAsia"/>
        </w:rPr>
        <w:tab/>
      </w:r>
      <w:r w:rsidR="00281648">
        <w:rPr>
          <w:rFonts w:hint="eastAsia"/>
        </w:rPr>
        <w:t>（改正なし）</w:t>
      </w:r>
    </w:p>
    <w:p w:rsidR="00DF5CFC" w:rsidRDefault="00DF5CFC" w:rsidP="00DF5CF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281648">
        <w:rPr>
          <w:rFonts w:hint="eastAsia"/>
        </w:rPr>
        <w:tab/>
      </w:r>
      <w:r w:rsidR="00281648">
        <w:rPr>
          <w:rFonts w:hint="eastAsia"/>
        </w:rPr>
        <w:t>（改正なし）</w:t>
      </w:r>
    </w:p>
    <w:p w:rsidR="00DF5CFC" w:rsidRDefault="00DF5CFC" w:rsidP="00DF5CFC">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281648">
        <w:rPr>
          <w:rFonts w:hint="eastAsia"/>
        </w:rPr>
        <w:tab/>
      </w:r>
      <w:r w:rsidR="00281648">
        <w:rPr>
          <w:rFonts w:hint="eastAsia"/>
        </w:rPr>
        <w:t>（改正なし）</w:t>
      </w:r>
    </w:p>
    <w:p w:rsidR="00DF5CFC" w:rsidRDefault="00DF5CFC" w:rsidP="00DF5CF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281648">
        <w:rPr>
          <w:rFonts w:hint="eastAsia"/>
        </w:rPr>
        <w:tab/>
      </w:r>
      <w:r w:rsidR="00281648">
        <w:rPr>
          <w:rFonts w:hint="eastAsia"/>
        </w:rPr>
        <w:t>（改正なし）</w:t>
      </w:r>
    </w:p>
    <w:p w:rsidR="00DF5CFC" w:rsidRDefault="00DF5CFC" w:rsidP="00DF5CFC">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281648">
        <w:rPr>
          <w:rFonts w:hint="eastAsia"/>
        </w:rPr>
        <w:tab/>
      </w:r>
      <w:r w:rsidR="00281648">
        <w:rPr>
          <w:rFonts w:hint="eastAsia"/>
        </w:rPr>
        <w:t>（改正なし）</w:t>
      </w:r>
    </w:p>
    <w:p w:rsidR="00DF5CFC" w:rsidRDefault="00DF5CFC" w:rsidP="00DF5CFC">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281648">
        <w:rPr>
          <w:rFonts w:hint="eastAsia"/>
        </w:rPr>
        <w:tab/>
      </w:r>
      <w:r w:rsidR="00281648">
        <w:rPr>
          <w:rFonts w:hint="eastAsia"/>
        </w:rPr>
        <w:t>（改正なし）</w:t>
      </w:r>
    </w:p>
    <w:p w:rsidR="00DF5CFC" w:rsidRDefault="00DF5CFC" w:rsidP="00DF5CF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DF5CFC" w:rsidRDefault="00DF5CFC" w:rsidP="00DF5CFC">
      <w:pPr>
        <w:rPr>
          <w:rFonts w:hint="eastAsia"/>
        </w:rPr>
      </w:pPr>
    </w:p>
    <w:p w:rsidR="00DF5CFC" w:rsidRDefault="00DF5CFC" w:rsidP="00DF5CFC">
      <w:pPr>
        <w:rPr>
          <w:rFonts w:hint="eastAsia"/>
        </w:rPr>
      </w:pPr>
      <w:r>
        <w:rPr>
          <w:rFonts w:hint="eastAsia"/>
        </w:rPr>
        <w:t>（改正後）</w:t>
      </w:r>
    </w:p>
    <w:p w:rsidR="00DF5CFC" w:rsidRPr="00D06820" w:rsidRDefault="00DF5CFC" w:rsidP="00DF5CFC">
      <w:pPr>
        <w:ind w:leftChars="85" w:left="178"/>
      </w:pPr>
      <w:r w:rsidRPr="00D06820">
        <w:t>（相場操縦に係る課徴金の計算における有価証券の売付け等）</w:t>
      </w:r>
    </w:p>
    <w:p w:rsidR="00DF5CFC" w:rsidRPr="00D06820" w:rsidRDefault="00DF5CFC" w:rsidP="00DF5CFC">
      <w:pPr>
        <w:ind w:left="179" w:hangingChars="85" w:hanging="179"/>
      </w:pPr>
      <w:r w:rsidRPr="00D06820">
        <w:rPr>
          <w:b/>
          <w:bCs/>
        </w:rPr>
        <w:t>第三十三条の十</w:t>
      </w:r>
      <w:r w:rsidRPr="00D06820">
        <w:t xml:space="preserve">　法第百七十四条第二項に規定する政令で定める取引は、次に掲げるものとする。</w:t>
      </w:r>
    </w:p>
    <w:p w:rsidR="00DF5CFC" w:rsidRPr="00D06820" w:rsidRDefault="00DF5CFC" w:rsidP="00DF5CFC">
      <w:pPr>
        <w:ind w:leftChars="86" w:left="359" w:hangingChars="85" w:hanging="178"/>
      </w:pPr>
      <w:r w:rsidRPr="00D06820">
        <w:t>一　有価証券の売付け</w:t>
      </w:r>
    </w:p>
    <w:p w:rsidR="00DF5CFC" w:rsidRPr="00D06820" w:rsidRDefault="00DF5CFC" w:rsidP="00DF5CFC">
      <w:pPr>
        <w:ind w:leftChars="86" w:left="359" w:hangingChars="85" w:hanging="178"/>
      </w:pPr>
      <w:r w:rsidRPr="00D06820">
        <w:t>二　有価証券指数等先物取引（現実指数又は現実数値が約定指数又は約定数値を上回つた場合に金銭を支払う立場の当事者となるものに限る。）</w:t>
      </w:r>
    </w:p>
    <w:p w:rsidR="00DF5CFC" w:rsidRPr="00D06820" w:rsidRDefault="00DF5CFC" w:rsidP="00DF5CFC">
      <w:pPr>
        <w:ind w:leftChars="86" w:left="359" w:hangingChars="85" w:hanging="178"/>
      </w:pPr>
      <w:r w:rsidRPr="00D06820">
        <w:t>三　有価証券オプション取引又は有価証券店頭オプション取引（オプションを付与する立場の当事者となるもの又はこれに類似するものに限る。）</w:t>
      </w:r>
    </w:p>
    <w:p w:rsidR="00DF5CFC" w:rsidRPr="00D06820" w:rsidRDefault="00DF5CFC" w:rsidP="00DF5CFC">
      <w:pPr>
        <w:ind w:leftChars="86" w:left="359" w:hangingChars="85" w:hanging="178"/>
      </w:pPr>
      <w:r w:rsidRPr="00D06820">
        <w:t>四　有価証券店頭指数等先渡取引（店頭現実指数若しくは店頭現実数値が店頭約定指数若しくは店頭約定数値を上回つた場合に金銭を支払う立場の当事者となるもの又はこれに類似するものに限る。）</w:t>
      </w:r>
    </w:p>
    <w:p w:rsidR="00DF5CFC" w:rsidRPr="00D06820" w:rsidRDefault="00DF5CFC" w:rsidP="00DF5CFC">
      <w:pPr>
        <w:ind w:leftChars="86" w:left="359" w:hangingChars="85" w:hanging="178"/>
      </w:pPr>
      <w:r w:rsidRPr="00D06820">
        <w:t>五　有価証券店頭指数等スワップ取引（違反行為（法第百七十四条第一項に規定する違反行為をいう。以下同じ。）に係る有価証券店頭指数若しくは有価証券の数値若しくは価格の約定した期間における変化率に基づいて金銭の授受を約する取引に係るもの又はこれに類似するものであつて、当該取引において当該有価証券店頭指数若しくは有価証券の数値若しくは価格が約定した期間に上昇した場合に金銭を支払う立場の当事者となるもの又はこれに類似するものに限る。）</w:t>
      </w:r>
    </w:p>
    <w:p w:rsidR="00DF5CFC" w:rsidRDefault="00DF5CFC" w:rsidP="00DF5CFC">
      <w:pPr>
        <w:ind w:left="178" w:hangingChars="85" w:hanging="178"/>
        <w:rPr>
          <w:rFonts w:hint="eastAsia"/>
        </w:rPr>
      </w:pPr>
    </w:p>
    <w:p w:rsidR="00DF5CFC" w:rsidRDefault="00DF5CFC" w:rsidP="00DF5CFC">
      <w:pPr>
        <w:ind w:left="178" w:hangingChars="85" w:hanging="178"/>
        <w:rPr>
          <w:rFonts w:hint="eastAsia"/>
        </w:rPr>
      </w:pPr>
      <w:r>
        <w:rPr>
          <w:rFonts w:hint="eastAsia"/>
        </w:rPr>
        <w:t>（改正前）</w:t>
      </w:r>
    </w:p>
    <w:p w:rsidR="00DF5CFC" w:rsidRPr="00205E78" w:rsidRDefault="00DF5CFC" w:rsidP="00DF5CFC">
      <w:pPr>
        <w:rPr>
          <w:rFonts w:hint="eastAsia"/>
          <w:u w:val="single" w:color="FF0000"/>
        </w:rPr>
      </w:pPr>
      <w:r w:rsidRPr="00205E78">
        <w:rPr>
          <w:rFonts w:hint="eastAsia"/>
          <w:u w:val="single" w:color="FF0000"/>
        </w:rPr>
        <w:t>（新設）</w:t>
      </w:r>
    </w:p>
    <w:p w:rsidR="006F7A7D" w:rsidRPr="00DF5CFC" w:rsidRDefault="006F7A7D">
      <w:pPr>
        <w:rPr>
          <w:rFonts w:hint="eastAsia"/>
        </w:rPr>
      </w:pPr>
    </w:p>
    <w:sectPr w:rsidR="006F7A7D" w:rsidRPr="00DF5CF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6B6" w:rsidRDefault="004726B6">
      <w:r>
        <w:separator/>
      </w:r>
    </w:p>
  </w:endnote>
  <w:endnote w:type="continuationSeparator" w:id="0">
    <w:p w:rsidR="004726B6" w:rsidRDefault="00472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242" w:rsidRDefault="00332242" w:rsidP="00DF5C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32242" w:rsidRDefault="00332242" w:rsidP="00DF5CF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242" w:rsidRDefault="00332242" w:rsidP="00DF5C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40889">
      <w:rPr>
        <w:rStyle w:val="a4"/>
        <w:noProof/>
      </w:rPr>
      <w:t>1</w:t>
    </w:r>
    <w:r>
      <w:rPr>
        <w:rStyle w:val="a4"/>
      </w:rPr>
      <w:fldChar w:fldCharType="end"/>
    </w:r>
  </w:p>
  <w:p w:rsidR="00332242" w:rsidRDefault="00332242" w:rsidP="00DF5CFC">
    <w:pPr>
      <w:pStyle w:val="a3"/>
      <w:ind w:right="360"/>
    </w:pPr>
    <w:r>
      <w:rPr>
        <w:rFonts w:ascii="Times New Roman" w:hAnsi="Times New Roman" w:hint="eastAsia"/>
        <w:kern w:val="0"/>
        <w:szCs w:val="21"/>
      </w:rPr>
      <w:t xml:space="preserve">金融商品取引法施行令　</w:t>
    </w:r>
    <w:r w:rsidRPr="00332242">
      <w:rPr>
        <w:rFonts w:ascii="Times New Roman" w:hAnsi="Times New Roman"/>
        <w:kern w:val="0"/>
        <w:szCs w:val="21"/>
      </w:rPr>
      <w:fldChar w:fldCharType="begin"/>
    </w:r>
    <w:r w:rsidRPr="00332242">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10.doc</w:t>
    </w:r>
    <w:r w:rsidRPr="0033224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6B6" w:rsidRDefault="004726B6">
      <w:r>
        <w:separator/>
      </w:r>
    </w:p>
  </w:footnote>
  <w:footnote w:type="continuationSeparator" w:id="0">
    <w:p w:rsidR="004726B6" w:rsidRDefault="004726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CFC"/>
    <w:rsid w:val="000D40EB"/>
    <w:rsid w:val="00281648"/>
    <w:rsid w:val="002C730F"/>
    <w:rsid w:val="00332242"/>
    <w:rsid w:val="004726B6"/>
    <w:rsid w:val="00692D6F"/>
    <w:rsid w:val="006F7A7D"/>
    <w:rsid w:val="008F1193"/>
    <w:rsid w:val="00940889"/>
    <w:rsid w:val="00A460F0"/>
    <w:rsid w:val="00D20124"/>
    <w:rsid w:val="00DF5C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CF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F5CFC"/>
    <w:pPr>
      <w:tabs>
        <w:tab w:val="center" w:pos="4252"/>
        <w:tab w:val="right" w:pos="8504"/>
      </w:tabs>
      <w:snapToGrid w:val="0"/>
    </w:pPr>
  </w:style>
  <w:style w:type="character" w:styleId="a4">
    <w:name w:val="page number"/>
    <w:basedOn w:val="a0"/>
    <w:rsid w:val="00DF5CFC"/>
  </w:style>
  <w:style w:type="paragraph" w:styleId="a5">
    <w:name w:val="header"/>
    <w:basedOn w:val="a"/>
    <w:rsid w:val="0033224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438</Words>
  <Characters>2502</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2024-08-20T08:18:00Z</dcterms:created>
  <dcterms:modified xsi:type="dcterms:W3CDTF">2024-08-20T08:18:00Z</dcterms:modified>
</cp:coreProperties>
</file>